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>РЕГЛАМЕНТ ПРОВЕДЕНИЯ ЭКЗАМЕНА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НА КАФЕДРЕ НЕВРОЛОГИИ</w:t>
      </w:r>
      <w:r>
        <w:rPr>
          <w:b w:val="1"/>
          <w:bCs w:val="1"/>
          <w:rtl w:val="0"/>
          <w:lang w:val="ru-RU"/>
        </w:rPr>
        <w:t xml:space="preserve">, </w:t>
      </w:r>
    </w:p>
    <w:p>
      <w:pPr>
        <w:pStyle w:val="Normal.0"/>
        <w:jc w:val="center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>НЕЙРОХИРУРГИИ И МЕДИЦИНСКОЙ ГЕНЕТИКИ КГМУ</w:t>
      </w:r>
    </w:p>
    <w:p>
      <w:pPr>
        <w:pStyle w:val="Normal.0"/>
        <w:jc w:val="center"/>
        <w:rPr>
          <w:b w:val="1"/>
          <w:bCs w:val="1"/>
          <w:lang w:val="ru-RU"/>
        </w:rPr>
      </w:pPr>
    </w:p>
    <w:p>
      <w:pPr>
        <w:pStyle w:val="Normal.0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>По дисциплине «Неврология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медицинская генетика и нейрохирургия» для лечебного факультета</w:t>
      </w:r>
    </w:p>
    <w:p>
      <w:pPr>
        <w:pStyle w:val="Normal.0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>По дисциплине «Неврология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нейрохирургия и медицинская генетика» для педиатрического факультета</w:t>
      </w:r>
    </w:p>
    <w:p>
      <w:pPr>
        <w:pStyle w:val="Normal.0"/>
        <w:rPr>
          <w:lang w:val="ru-RU"/>
        </w:rPr>
      </w:pPr>
    </w:p>
    <w:p>
      <w:pPr>
        <w:pStyle w:val="Normal.0"/>
        <w:ind w:firstLine="720"/>
        <w:jc w:val="both"/>
        <w:rPr>
          <w:lang w:val="ru-RU"/>
        </w:rPr>
      </w:pPr>
      <w:r>
        <w:rPr>
          <w:rtl w:val="0"/>
          <w:lang w:val="ru-RU"/>
        </w:rPr>
        <w:t>Место проведения экзамена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определяется в соответствии с текущей обстановкой на клинических базах кафедры</w:t>
      </w:r>
    </w:p>
    <w:p>
      <w:pPr>
        <w:pStyle w:val="Normal.0"/>
        <w:ind w:firstLine="720"/>
        <w:jc w:val="both"/>
        <w:rPr>
          <w:lang w:val="ru-RU"/>
        </w:rPr>
      </w:pPr>
      <w:r>
        <w:rPr>
          <w:rtl w:val="0"/>
          <w:lang w:val="ru-RU"/>
        </w:rPr>
        <w:t>Начало экзамена</w:t>
      </w:r>
      <w:r>
        <w:rPr>
          <w:rtl w:val="0"/>
          <w:lang w:val="ru-RU"/>
        </w:rPr>
        <w:t>: 8.00</w:t>
      </w:r>
    </w:p>
    <w:p>
      <w:pPr>
        <w:pStyle w:val="Normal.0"/>
        <w:ind w:firstLine="720"/>
        <w:jc w:val="both"/>
        <w:rPr>
          <w:lang w:val="ru-RU"/>
        </w:rPr>
      </w:pPr>
      <w:r>
        <w:rPr>
          <w:rtl w:val="0"/>
          <w:lang w:val="ru-RU"/>
        </w:rPr>
        <w:t>Требования к внешнему виду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студент обязан придерживаться формы одежды в соответствии с правилами внутреннего распорядка КГМУ и клинического учреждения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именно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чистый белый медицинский халат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вторая обувь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экзамен не допускаются студенты и студентки в пляжных шлепанцах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студенты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 шортах и бриджах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спортивных брюках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студентки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 распущенными волосами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«агрессивным» маникюром</w:t>
      </w:r>
      <w:r>
        <w:rPr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lang w:val="ru-RU"/>
        </w:rPr>
      </w:pPr>
      <w:r>
        <w:rPr>
          <w:rtl w:val="0"/>
          <w:lang w:val="ru-RU"/>
        </w:rPr>
        <w:t>В связи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 кафедре используется принцип «заслепления экзаменуемых» на халате не должно быть каких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либо признаков отличия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нашивок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надписей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бейдж с указанием фамилии должен быть снят с халата до начала экзамена</w:t>
      </w:r>
      <w:r>
        <w:rPr>
          <w:rtl w:val="0"/>
          <w:lang w:val="ru-RU"/>
        </w:rPr>
        <w:t>.</w:t>
      </w:r>
    </w:p>
    <w:p>
      <w:pPr>
        <w:pStyle w:val="Normal.0"/>
        <w:jc w:val="both"/>
        <w:rPr>
          <w:lang w:val="ru-RU"/>
        </w:rPr>
      </w:pPr>
      <w:r>
        <w:rPr>
          <w:rtl w:val="0"/>
          <w:lang w:val="ru-RU"/>
        </w:rPr>
        <w:t>Экзамен по неврологии проводится в три этапа</w:t>
      </w:r>
      <w:r>
        <w:rPr>
          <w:rtl w:val="0"/>
          <w:lang w:val="ru-RU"/>
        </w:rPr>
        <w:t>:</w:t>
      </w:r>
    </w:p>
    <w:p>
      <w:pPr>
        <w:pStyle w:val="Normal.0"/>
        <w:jc w:val="both"/>
        <w:rPr>
          <w:lang w:val="ru-RU"/>
        </w:rPr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теоретическая часть</w:t>
      </w:r>
    </w:p>
    <w:p>
      <w:pPr>
        <w:pStyle w:val="Normal.0"/>
        <w:jc w:val="both"/>
        <w:rPr>
          <w:lang w:val="ru-RU"/>
        </w:rPr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клиническая задача</w:t>
      </w:r>
    </w:p>
    <w:p>
      <w:pPr>
        <w:pStyle w:val="Normal.0"/>
        <w:jc w:val="both"/>
        <w:rPr>
          <w:lang w:val="ru-RU"/>
        </w:rPr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практические навыки</w:t>
      </w:r>
    </w:p>
    <w:p>
      <w:pPr>
        <w:pStyle w:val="Normal.0"/>
        <w:jc w:val="both"/>
        <w:rPr>
          <w:lang w:val="ru-RU"/>
        </w:rPr>
      </w:pP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>Теоретическая часть проводится в форме тестового контроля в интернет зале КГМУ</w:t>
      </w:r>
      <w:r>
        <w:rPr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 xml:space="preserve">Для прохождения тестового контроля необходимо иметь при себе документ для подтверждения личности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зачетка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студенческий билет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паспорт</w:t>
      </w:r>
      <w:r>
        <w:rPr>
          <w:b w:val="1"/>
          <w:bCs w:val="1"/>
          <w:rtl w:val="0"/>
          <w:lang w:val="ru-RU"/>
        </w:rPr>
        <w:t>).</w:t>
      </w: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 xml:space="preserve">Тестовый контроль включает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>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 выбрать один правильный ответ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прохождение тестового контроля будет выделено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На каждой странице высвечивается только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вопрос с ответами на выбор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Обратно к нерешенным вопросам возвращаться нельзя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Время начала теста строго регламентировано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просим не опаздывать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иначе у вас останется меньше времени для решения тестового контроля</w:t>
      </w:r>
      <w:r>
        <w:rPr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>ВАЖНО</w:t>
      </w:r>
      <w:r>
        <w:rPr>
          <w:b w:val="1"/>
          <w:bCs w:val="1"/>
          <w:rtl w:val="0"/>
          <w:lang w:val="ru-RU"/>
        </w:rPr>
        <w:t xml:space="preserve">! </w:t>
      </w:r>
      <w:r>
        <w:rPr>
          <w:b w:val="1"/>
          <w:bCs w:val="1"/>
          <w:rtl w:val="0"/>
          <w:lang w:val="ru-RU"/>
        </w:rPr>
        <w:t xml:space="preserve">Для прохождения теста необходимо знать параметры своего доступа на образовательный портал КГМУ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логин и пароль</w:t>
      </w:r>
      <w:r>
        <w:rPr>
          <w:b w:val="1"/>
          <w:bCs w:val="1"/>
          <w:rtl w:val="0"/>
          <w:lang w:val="ru-RU"/>
        </w:rPr>
        <w:t>).</w:t>
      </w:r>
    </w:p>
    <w:p>
      <w:pPr>
        <w:pStyle w:val="Normal.0"/>
        <w:widowControl w:val="0"/>
        <w:ind w:firstLine="708"/>
        <w:jc w:val="both"/>
        <w:rPr>
          <w:lang w:val="ru-RU"/>
        </w:rPr>
      </w:pPr>
    </w:p>
    <w:p>
      <w:pPr>
        <w:pStyle w:val="Normal.0"/>
        <w:widowControl w:val="0"/>
        <w:ind w:firstLine="708"/>
        <w:jc w:val="both"/>
        <w:rPr>
          <w:lang w:val="ru-RU"/>
        </w:rPr>
      </w:pPr>
      <w:r>
        <w:rPr>
          <w:rtl w:val="0"/>
          <w:lang w:val="ru-RU"/>
        </w:rPr>
        <w:t>Клиническая задача и практические навыки – проводятся в очной форме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Студенты в порядке очереди приглашаются в аудиторию лаборантами кафедры</w:t>
      </w:r>
      <w:r>
        <w:rPr>
          <w:rtl w:val="0"/>
          <w:lang w:val="ru-RU"/>
        </w:rPr>
        <w:t xml:space="preserve">. </w:t>
      </w:r>
    </w:p>
    <w:p>
      <w:pPr>
        <w:pStyle w:val="Основной текст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Студент предъявляет сотруднику кафедры свою зачетку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чего сотрудник кафедры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проверяет зачетную книжку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выдает экзаменационный лист с указанием его индивидуального кода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котором необходимо записать свой ответ при подготовке к этапам экзамена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этого студенты направляются для сдачи практических навыков или решения клинической задачи в разные аудитории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сновной текст A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КЛИНИЧЕСКАЯ ЗАДАЧА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Основной текст A"/>
        <w:ind w:firstLine="7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Выдается экзаменационный билет с клинической задачей и экзаменационный лист с указанием индивидуального кода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котором необходимо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ЗАПИСАТЬ СВОЙ ОТВЕТ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при подготовке к этапу экзамена</w:t>
      </w:r>
    </w:p>
    <w:p>
      <w:pPr>
        <w:pStyle w:val="Основной текст A"/>
        <w:ind w:firstLine="708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Лаборант фиксирует данные студента в экзаменационной ведомости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идентификационный код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фиксирует время начала подготовки к ответу и предлагает начать подготовку к экзамену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widowControl w:val="0"/>
        <w:ind w:firstLine="708"/>
        <w:jc w:val="both"/>
        <w:rPr>
          <w:lang w:val="ru-RU"/>
        </w:rPr>
      </w:pPr>
      <w:r>
        <w:rPr>
          <w:rtl w:val="0"/>
          <w:lang w:val="ru-RU"/>
        </w:rPr>
        <w:t xml:space="preserve">Для решения экзаменационной задачи выделяется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>По истечении времени подготовки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называется идентификационный код экзаменумого и данный студент вызывается к любому свободному на данный момент экзаменатору</w:t>
      </w:r>
      <w:r>
        <w:rPr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 xml:space="preserve">На ответ этапа клиническая задача выделяется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преподаватель выставляет оценку за ответ</w:t>
      </w:r>
      <w:r>
        <w:rPr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 xml:space="preserve">Не допускается смена очередности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«выбор преподавателя»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при вызове студента к экзаменатору</w:t>
      </w:r>
      <w:r>
        <w:rPr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>Не допускается произнесение фамилии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группы экзаменуемого</w:t>
      </w:r>
      <w:r>
        <w:rPr>
          <w:rtl w:val="0"/>
          <w:lang w:val="ru-RU"/>
        </w:rPr>
        <w:t>!</w:t>
      </w:r>
    </w:p>
    <w:p>
      <w:pPr>
        <w:pStyle w:val="Normal.0"/>
        <w:ind w:firstLine="708"/>
        <w:jc w:val="both"/>
        <w:rPr>
          <w:lang w:val="ru-RU"/>
        </w:rPr>
      </w:pPr>
    </w:p>
    <w:p>
      <w:pPr>
        <w:pStyle w:val="Normal.0"/>
        <w:widowControl w:val="0"/>
        <w:ind w:firstLine="708"/>
        <w:jc w:val="both"/>
        <w:rPr>
          <w:lang w:val="ru-RU"/>
        </w:rPr>
      </w:pPr>
      <w:r>
        <w:rPr>
          <w:rtl w:val="0"/>
          <w:lang w:val="ru-RU"/>
        </w:rPr>
        <w:t>Клиническая задача состоит из двух частей – сама задача и результаты инструментальных исследований</w:t>
      </w:r>
      <w:r>
        <w:rPr>
          <w:rtl w:val="0"/>
          <w:lang w:val="ru-RU"/>
        </w:rPr>
        <w:t xml:space="preserve">. </w:t>
      </w:r>
    </w:p>
    <w:p>
      <w:pPr>
        <w:pStyle w:val="Normal.0"/>
        <w:widowControl w:val="0"/>
        <w:ind w:firstLine="708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РЕШЕНИЕ ЗАДАЧИ НЕОБХОДИМО ПОЛНОСТЬЮ НАПИСАТЬ НА БУМАГЕ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Normal.0"/>
        <w:widowControl w:val="0"/>
        <w:ind w:firstLine="708"/>
        <w:jc w:val="both"/>
        <w:rPr>
          <w:spacing w:val="-1"/>
          <w:lang w:val="ru-RU"/>
        </w:rPr>
      </w:pPr>
      <w:r>
        <w:rPr>
          <w:spacing w:val="-1"/>
          <w:rtl w:val="0"/>
          <w:lang w:val="ru-RU"/>
        </w:rPr>
        <w:t xml:space="preserve">Ответ на клиническую задачу должен содержать следующие пункты </w:t>
      </w:r>
      <w:r>
        <w:rPr>
          <w:spacing w:val="-1"/>
          <w:rtl w:val="0"/>
          <w:lang w:val="ru-RU"/>
        </w:rPr>
        <w:t>(</w:t>
      </w:r>
      <w:r>
        <w:rPr>
          <w:spacing w:val="-1"/>
          <w:rtl w:val="0"/>
          <w:lang w:val="ru-RU"/>
        </w:rPr>
        <w:t>как представлено в самой задаче</w:t>
      </w:r>
      <w:r>
        <w:rPr>
          <w:spacing w:val="-1"/>
          <w:rtl w:val="0"/>
          <w:lang w:val="ru-RU"/>
        </w:rPr>
        <w:t xml:space="preserve">) </w:t>
      </w:r>
      <w:r>
        <w:rPr>
          <w:spacing w:val="-1"/>
          <w:rtl w:val="0"/>
          <w:lang w:val="ru-RU"/>
        </w:rPr>
        <w:t>и каждый ответ оценивается баллами</w:t>
      </w:r>
      <w:r>
        <w:rPr>
          <w:spacing w:val="-1"/>
          <w:rtl w:val="0"/>
          <w:lang w:val="ru-RU"/>
        </w:rPr>
        <w:t>:</w:t>
      </w:r>
    </w:p>
    <w:p>
      <w:pPr>
        <w:pStyle w:val="Normal.0"/>
        <w:jc w:val="both"/>
        <w:rPr>
          <w:lang w:val="ru-RU"/>
        </w:rPr>
      </w:pPr>
    </w:p>
    <w:tbl>
      <w:tblPr>
        <w:tblW w:w="10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14"/>
        <w:gridCol w:w="7501"/>
        <w:gridCol w:w="990"/>
        <w:gridCol w:w="760"/>
      </w:tblGrid>
      <w:tr>
        <w:tblPrEx>
          <w:shd w:val="clear" w:color="auto" w:fill="cadfff"/>
        </w:tblPrEx>
        <w:trPr>
          <w:trHeight w:val="600" w:hRule="atLeast"/>
        </w:trPr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№</w:t>
            </w:r>
            <w:r>
              <w:rPr>
                <w:shd w:val="nil" w:color="auto" w:fill="auto"/>
              </w:rPr>
            </w:r>
          </w:p>
        </w:tc>
        <w:tc>
          <w:tcPr>
            <w:tcW w:type="dxa" w:w="7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Оценка клинической задачи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Балл за ответ</w:t>
            </w:r>
          </w:p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Макс балл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spacing w:val="0"/>
                <w:shd w:val="nil" w:color="auto" w:fill="auto"/>
                <w:rtl w:val="0"/>
                <w:lang w:val="ru-RU"/>
              </w:rPr>
              <w:t xml:space="preserve">Выделите синдромы и объясните их происхождение 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18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Ваш предположительный диагноз и его обоснование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18</w:t>
            </w:r>
          </w:p>
        </w:tc>
      </w:tr>
      <w:tr>
        <w:tblPrEx>
          <w:shd w:val="clear" w:color="auto" w:fill="cadfff"/>
        </w:tblPrEx>
        <w:trPr>
          <w:trHeight w:val="600" w:hRule="atLeast"/>
        </w:trPr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spacing w:val="0"/>
                <w:shd w:val="nil" w:color="auto" w:fill="auto"/>
                <w:rtl w:val="0"/>
                <w:lang w:val="ru-RU"/>
              </w:rPr>
              <w:t>Какие диагностические методы вы примените и что предполагаете верифицировать</w:t>
            </w:r>
            <w:r>
              <w:rPr>
                <w:spacing w:val="0"/>
                <w:shd w:val="nil" w:color="auto" w:fill="auto"/>
                <w:rtl w:val="0"/>
                <w:lang w:val="ru-RU"/>
              </w:rPr>
              <w:t>?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18</w:t>
            </w:r>
          </w:p>
        </w:tc>
      </w:tr>
      <w:tr>
        <w:tblPrEx>
          <w:shd w:val="clear" w:color="auto" w:fill="cadfff"/>
        </w:tblPrEx>
        <w:trPr>
          <w:trHeight w:val="600" w:hRule="atLeast"/>
        </w:trPr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С какими заболеваниями будете проводить дифференциальную диагностику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18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Ваша тактика лечения и дальнейшего ведения пациента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18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Результат инструментального исследования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3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Итого</w:t>
            </w:r>
          </w:p>
        </w:tc>
        <w:tc>
          <w:tcPr>
            <w:tcW w:type="dxa" w:w="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100</w:t>
            </w:r>
          </w:p>
        </w:tc>
      </w:tr>
    </w:tbl>
    <w:p>
      <w:pPr>
        <w:pStyle w:val="Normal.0"/>
        <w:widowControl w:val="0"/>
        <w:jc w:val="both"/>
        <w:rPr>
          <w:lang w:val="ru-RU"/>
        </w:rPr>
      </w:pPr>
    </w:p>
    <w:p>
      <w:pPr>
        <w:pStyle w:val="Normal.0"/>
        <w:jc w:val="both"/>
        <w:rPr>
          <w:lang w:val="ru-RU"/>
        </w:rPr>
      </w:pPr>
    </w:p>
    <w:p>
      <w:pPr>
        <w:pStyle w:val="Normal.0"/>
        <w:widowControl w:val="0"/>
        <w:ind w:firstLine="708"/>
        <w:jc w:val="both"/>
        <w:rPr>
          <w:lang w:val="ru-RU"/>
        </w:rPr>
      </w:pPr>
      <w:r>
        <w:rPr>
          <w:rtl w:val="0"/>
          <w:lang w:val="ru-RU"/>
        </w:rPr>
        <w:t xml:space="preserve">К задаче прилагается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результата инструментального исследования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Обучающий должен интерпретировать каждый результат и выбрать тот результат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подходит для представленной клинической задачи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также фиксируется на бумаге</w:t>
      </w:r>
      <w:r>
        <w:rPr>
          <w:rtl w:val="0"/>
          <w:lang w:val="ru-RU"/>
        </w:rPr>
        <w:t xml:space="preserve">. </w:t>
      </w:r>
    </w:p>
    <w:p>
      <w:pPr>
        <w:pStyle w:val="Normal.0"/>
        <w:widowControl w:val="0"/>
        <w:ind w:firstLine="708"/>
        <w:jc w:val="both"/>
        <w:rPr>
          <w:b w:val="1"/>
          <w:bCs w:val="1"/>
          <w:lang w:val="ru-RU"/>
        </w:rPr>
      </w:pPr>
    </w:p>
    <w:p>
      <w:pPr>
        <w:pStyle w:val="Normal.0"/>
        <w:widowControl w:val="0"/>
        <w:ind w:firstLine="708"/>
        <w:jc w:val="both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 xml:space="preserve">ОЦЕНКА ОТВЕТА НА КЛИНИЧЕСКУЮ ЗАДАЧУ ПРОИЗВОДИТСЯ СОГЛАСНО ПИСЬМЕННОМУ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ОБЯЗАТЕЛЬНО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И УСТНОМУ ОТВЕТУ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ПИСЬМЕННЫЙ ОТВЕТ ЯВЛЯЕТСЯ ОПРЕДЕЛЯЮЩИМ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b w:val="1"/>
          <w:bCs w:val="1"/>
          <w:lang w:val="ru-RU"/>
        </w:rPr>
      </w:pPr>
    </w:p>
    <w:p>
      <w:pPr>
        <w:pStyle w:val="Normal.0"/>
        <w:ind w:firstLine="708"/>
        <w:jc w:val="both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>Пример клинической задачи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shd w:val="clear" w:color="auto" w:fill="ffffff"/>
        <w:ind w:firstLine="720"/>
        <w:jc w:val="both"/>
        <w:rPr>
          <w:lang w:val="ru-RU"/>
        </w:rPr>
      </w:pPr>
      <w:r>
        <w:rPr>
          <w:rtl w:val="0"/>
          <w:lang w:val="ru-RU"/>
        </w:rPr>
        <w:t xml:space="preserve">Женщина </w:t>
      </w:r>
      <w:r>
        <w:rPr>
          <w:rtl w:val="0"/>
          <w:lang w:val="ru-RU"/>
        </w:rPr>
        <w:t xml:space="preserve">38 </w:t>
      </w:r>
      <w:r>
        <w:rPr>
          <w:rtl w:val="0"/>
          <w:lang w:val="ru-RU"/>
        </w:rPr>
        <w:t>лет жалуется на боли в верхней части голени справа и периодическое онемение и ощущение «ползания мурашек» в правой голени и стопе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Через несколько дней стала «шлепать» правая стопа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пациентка обратилась за медицинской помощью</w:t>
      </w:r>
      <w:r>
        <w:rPr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ind w:firstLine="720"/>
        <w:jc w:val="both"/>
      </w:pPr>
      <w:r>
        <w:rPr>
          <w:rtl w:val="0"/>
          <w:lang w:val="ru-RU"/>
        </w:rPr>
        <w:t>Объективно обнаруживается гипестезия на передне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боковой поверхности правой голени и на тыле стопы без захвата первого пальца стопы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Сила в тыльных сгибателях правой стопы снижена до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ходьбе обнаруживается симптом «петушиной походки» или степпажа справа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Справа стопа свисает</w:t>
      </w:r>
      <w:r>
        <w:rPr>
          <w:rtl w:val="0"/>
          <w:lang w:val="en-US"/>
        </w:rPr>
        <w:t xml:space="preserve">. </w:t>
      </w:r>
    </w:p>
    <w:p>
      <w:pPr>
        <w:pStyle w:val="Normal.0"/>
        <w:widowControl w:val="0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Выделите синдромы и объясните их происхождение </w:t>
      </w:r>
    </w:p>
    <w:p>
      <w:pPr>
        <w:pStyle w:val="Normal.0"/>
        <w:widowControl w:val="0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Ваш предположительный диагноз и его обоснование</w:t>
      </w:r>
      <w:r>
        <w:rPr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Какие диагностические методы вы примените и что предполагаете верифицировать</w:t>
      </w:r>
      <w:r>
        <w:rPr>
          <w:rtl w:val="0"/>
          <w:lang w:val="ru-RU"/>
        </w:rPr>
        <w:t>?</w:t>
      </w:r>
    </w:p>
    <w:p>
      <w:pPr>
        <w:pStyle w:val="Normal.0"/>
        <w:widowControl w:val="0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С какими заболеваниями будете проводить дифференциальную диагностику</w:t>
      </w:r>
      <w:r>
        <w:rPr>
          <w:rtl w:val="0"/>
          <w:lang w:val="ru-RU"/>
        </w:rPr>
        <w:t>?</w:t>
      </w:r>
    </w:p>
    <w:p>
      <w:pPr>
        <w:pStyle w:val="Normal.0"/>
        <w:widowControl w:val="0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Ваша тактика лечения и дальнейшего ведения пациента</w:t>
      </w:r>
      <w:r>
        <w:rPr>
          <w:rtl w:val="0"/>
          <w:lang w:val="ru-RU"/>
        </w:rPr>
        <w:t>.</w:t>
      </w:r>
    </w:p>
    <w:p>
      <w:pPr>
        <w:pStyle w:val="Normal.0"/>
        <w:shd w:val="clear" w:color="auto" w:fill="ffffff"/>
        <w:jc w:val="center"/>
        <w:rPr>
          <w:b w:val="1"/>
          <w:bCs w:val="1"/>
          <w:outline w:val="0"/>
          <w:color w:val="000000"/>
          <w:spacing w:val="0"/>
          <w:u w:color="00000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jc w:val="center"/>
        <w:rPr>
          <w:b w:val="1"/>
          <w:b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drawing xmlns:a="http://schemas.openxmlformats.org/drawingml/2006/main">
          <wp:inline distT="0" distB="0" distL="0" distR="0">
            <wp:extent cx="1581150" cy="1771650"/>
            <wp:effectExtent l="0" t="0" r="0" b="0"/>
            <wp:docPr id="1073741825" name="officeArt object" descr="Описание: СА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Описание: САК.jpg" descr="Описание: САК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5383" t="0" r="538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71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 xmlns:a="http://schemas.openxmlformats.org/drawingml/2006/main">
          <wp:inline distT="0" distB="0" distL="0" distR="0">
            <wp:extent cx="1537755" cy="1771650"/>
            <wp:effectExtent l="0" t="0" r="0" b="0"/>
            <wp:docPr id="1073741826" name="officeArt object" descr="Описание: images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Описание: images (3).jpg" descr="Описание: images (3)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37755" cy="1771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drawing xmlns:a="http://schemas.openxmlformats.org/drawingml/2006/main">
          <wp:inline distT="0" distB="0" distL="0" distR="0">
            <wp:extent cx="1581150" cy="1771650"/>
            <wp:effectExtent l="0" t="0" r="0" b="0"/>
            <wp:docPr id="1073741827" name="officeArt object" descr="Описание: РС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Описание: РС 2.jpg" descr="Описание: РС 2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5383" t="0" r="538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71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ind w:firstLine="708"/>
        <w:jc w:val="both"/>
      </w:pP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>Оценка решения клинической задачи проводится согласно ответам на поставленные вопросы в конце задачи и интерпретации результатов инструментального исследования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Каждому ответу присваивается </w:t>
      </w:r>
      <w:r>
        <w:rPr>
          <w:rtl w:val="0"/>
          <w:lang w:val="ru-RU"/>
        </w:rPr>
        <w:t xml:space="preserve">18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интерпретации результатов исследований присваивается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Исходя из этого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суммируя полученные баллы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выводится итоговая оценка за решение задачи</w:t>
      </w:r>
      <w:r>
        <w:rPr>
          <w:rtl w:val="0"/>
          <w:lang w:val="ru-RU"/>
        </w:rPr>
        <w:t>.</w:t>
      </w:r>
    </w:p>
    <w:p>
      <w:pPr>
        <w:pStyle w:val="Normal.0"/>
        <w:ind w:firstLine="720"/>
        <w:jc w:val="both"/>
        <w:rPr>
          <w:lang w:val="ru-RU"/>
        </w:rPr>
      </w:pPr>
    </w:p>
    <w:p>
      <w:pPr>
        <w:pStyle w:val="Normal.0"/>
        <w:jc w:val="both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>ПРАКТИЧЕСКИЕ НАВЫКИ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>Этап практические навыки проходит в отдельных аудиториях</w:t>
      </w:r>
      <w:r>
        <w:rPr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>Обучающемуся предлагается выбрать вслепую билет с заданием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билете содержится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вопроса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касающиеся пропедевтики нервных болезней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неврологического осмотра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Оба вопроса построены на основании типичных жалоб пациента при поражении той или иной системы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двигательной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чувствительной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экстрапирамидной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вертебральной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черепных нервов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высших мозговых функций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.). </w:t>
      </w:r>
      <w:r>
        <w:rPr>
          <w:rtl w:val="0"/>
          <w:lang w:val="ru-RU"/>
        </w:rPr>
        <w:t>При ответе необходимо интерпретировать жалобы и назвать предположительно пораженную систему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продемонстрировать практические навыки на пациенте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охарактеризовать результаты демонстрируемого объективного осмотра в норме и при патологии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предположить уровни поражения с их дифференциальной диагностикой</w:t>
      </w:r>
      <w:r>
        <w:rPr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 xml:space="preserve">На подготовку выделяется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ответ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чего преподаватель выставляет оценку за ответ</w:t>
      </w:r>
      <w:r>
        <w:rPr>
          <w:rtl w:val="0"/>
          <w:lang w:val="ru-RU"/>
        </w:rPr>
        <w:t>.</w:t>
      </w:r>
    </w:p>
    <w:p>
      <w:pPr>
        <w:pStyle w:val="Normal.0"/>
        <w:jc w:val="both"/>
        <w:rPr>
          <w:lang w:val="ru-RU"/>
        </w:rPr>
      </w:pPr>
    </w:p>
    <w:p>
      <w:pPr>
        <w:pStyle w:val="Normal.0"/>
        <w:jc w:val="both"/>
      </w:pPr>
      <w:r>
        <w:rPr>
          <w:rtl w:val="0"/>
          <w:lang w:val="en-US"/>
        </w:rPr>
        <w:t>Пример экзаменационного билета</w:t>
      </w:r>
      <w:r>
        <w:rPr>
          <w:rtl w:val="0"/>
          <w:lang w:val="en-US"/>
        </w:rPr>
        <w:t>:</w:t>
      </w:r>
    </w:p>
    <w:p>
      <w:pPr>
        <w:pStyle w:val="Normal.0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Жалобы на слабость в левых конечностях – часто роняет предметы из левой руки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ходьбе подволакивает левую ногу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может пройти не больше </w:t>
      </w:r>
      <w:r>
        <w:rPr>
          <w:rtl w:val="0"/>
          <w:lang w:val="ru-RU"/>
        </w:rPr>
        <w:t xml:space="preserve">100 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>.</w:t>
      </w:r>
    </w:p>
    <w:p>
      <w:pPr>
        <w:pStyle w:val="Normal.0"/>
        <w:numPr>
          <w:ilvl w:val="0"/>
          <w:numId w:val="6"/>
        </w:numPr>
        <w:jc w:val="both"/>
        <w:rPr>
          <w:lang w:val="en-US"/>
        </w:rPr>
      </w:pPr>
      <w:r>
        <w:rPr>
          <w:rtl w:val="0"/>
          <w:lang w:val="en-US"/>
        </w:rPr>
        <w:t>Жалобы на снижение обоняния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en-US"/>
        </w:rPr>
        <w:t>Оценка практических навыков</w:t>
      </w:r>
      <w:r>
        <w:rPr>
          <w:rtl w:val="0"/>
          <w:lang w:val="en-US"/>
        </w:rPr>
        <w:t>:</w:t>
      </w:r>
    </w:p>
    <w:p>
      <w:pPr>
        <w:pStyle w:val="Normal.0"/>
        <w:jc w:val="both"/>
      </w:pPr>
    </w:p>
    <w:tbl>
      <w:tblPr>
        <w:tblW w:w="93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8"/>
        <w:gridCol w:w="7011"/>
        <w:gridCol w:w="921"/>
        <w:gridCol w:w="659"/>
      </w:tblGrid>
      <w:tr>
        <w:tblPrEx>
          <w:shd w:val="clear" w:color="auto" w:fill="cadfff"/>
        </w:tblPrEx>
        <w:trPr>
          <w:trHeight w:val="600" w:hRule="atLeast"/>
        </w:trPr>
        <w:tc>
          <w:tcPr>
            <w:tcW w:type="dxa" w:w="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№</w:t>
            </w:r>
            <w:r>
              <w:rPr>
                <w:shd w:val="nil" w:color="auto" w:fill="auto"/>
              </w:rPr>
            </w:r>
          </w:p>
        </w:tc>
        <w:tc>
          <w:tcPr>
            <w:tcW w:type="dxa" w:w="7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Оценка практических навыков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Балл за ответ</w:t>
            </w:r>
          </w:p>
        </w:tc>
        <w:tc>
          <w:tcPr>
            <w:tcW w:type="dxa" w:w="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макс балл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назвал предположительно пораженную систему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продемонстрировал соответствующие практические навыки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cadfff"/>
        </w:tblPrEx>
        <w:trPr>
          <w:trHeight w:val="600" w:hRule="atLeast"/>
        </w:trPr>
        <w:tc>
          <w:tcPr>
            <w:tcW w:type="dxa" w:w="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охарактеризовал результаты демонстрируемого объективного осмотра в норме и при патологии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предположил уровни поражения с их дифференциальной диагностикой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Итого</w:t>
            </w:r>
          </w:p>
        </w:tc>
        <w:tc>
          <w:tcPr>
            <w:tcW w:type="dxa" w:w="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100</w:t>
            </w:r>
          </w:p>
        </w:tc>
      </w:tr>
    </w:tbl>
    <w:p>
      <w:pPr>
        <w:pStyle w:val="Normal.0"/>
        <w:widowControl w:val="0"/>
        <w:jc w:val="both"/>
      </w:pPr>
    </w:p>
    <w:p>
      <w:pPr>
        <w:pStyle w:val="Normal.0"/>
        <w:jc w:val="both"/>
      </w:pP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>Каждый этап экзамена оценивается в баллах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согласно регламенту экзамена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Оценки за каждый этап варьируют от </w:t>
      </w:r>
      <w:r>
        <w:rPr>
          <w:rtl w:val="0"/>
          <w:lang w:val="ru-RU"/>
        </w:rPr>
        <w:t xml:space="preserve">0 </w:t>
      </w:r>
      <w:r>
        <w:rPr>
          <w:rtl w:val="0"/>
          <w:lang w:val="ru-RU"/>
        </w:rPr>
        <w:t xml:space="preserve">баллов до </w:t>
      </w:r>
      <w:r>
        <w:rPr>
          <w:rtl w:val="0"/>
          <w:lang w:val="ru-RU"/>
        </w:rPr>
        <w:t xml:space="preserve">100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экзаменационная оценка рассчитывается как средняя арифметическая всех трех этапов экзамена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случае получения за этап оценку в пределах от </w:t>
      </w:r>
      <w:r>
        <w:rPr>
          <w:rtl w:val="0"/>
          <w:lang w:val="ru-RU"/>
        </w:rPr>
        <w:t xml:space="preserve">0 </w:t>
      </w:r>
      <w:r>
        <w:rPr>
          <w:rtl w:val="0"/>
          <w:lang w:val="ru-RU"/>
        </w:rPr>
        <w:t xml:space="preserve">до </w:t>
      </w:r>
      <w:r>
        <w:rPr>
          <w:rtl w:val="0"/>
          <w:lang w:val="ru-RU"/>
        </w:rPr>
        <w:t xml:space="preserve">69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данный этап экзамена считается несданным и за этот этап выставляется </w:t>
      </w:r>
      <w:r>
        <w:rPr>
          <w:rtl w:val="0"/>
          <w:lang w:val="ru-RU"/>
        </w:rPr>
        <w:t xml:space="preserve">0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>.</w:t>
      </w:r>
    </w:p>
    <w:p>
      <w:pPr>
        <w:pStyle w:val="Normal.0"/>
        <w:jc w:val="both"/>
        <w:rPr>
          <w:lang w:val="ru-RU"/>
        </w:rPr>
      </w:pP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 xml:space="preserve">Если итоговая экзаменационная оценка ниже порогового уровня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неудовлетворительная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менее </w:t>
      </w:r>
      <w:r>
        <w:rPr>
          <w:rtl w:val="0"/>
          <w:lang w:val="ru-RU"/>
        </w:rPr>
        <w:t xml:space="preserve">70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обучающийся сдает экзамен во время дополнительной сессии согласно приказу ректора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 обучающийся сдает тот этап экзамена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который был оценен ниже </w:t>
      </w:r>
      <w:r>
        <w:rPr>
          <w:rtl w:val="0"/>
          <w:lang w:val="ru-RU"/>
        </w:rPr>
        <w:t xml:space="preserve">70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b w:val="1"/>
          <w:bCs w:val="1"/>
          <w:u w:val="single"/>
          <w:lang w:val="ru-RU"/>
        </w:rPr>
      </w:pPr>
    </w:p>
    <w:p>
      <w:pPr>
        <w:pStyle w:val="Normal.0"/>
        <w:ind w:firstLine="708"/>
        <w:jc w:val="both"/>
        <w:rPr>
          <w:lang w:val="ru-RU"/>
        </w:rPr>
      </w:pPr>
      <w:r>
        <w:rPr>
          <w:b w:val="1"/>
          <w:bCs w:val="1"/>
          <w:u w:val="single"/>
          <w:rtl w:val="0"/>
          <w:lang w:val="ru-RU"/>
        </w:rPr>
        <w:t>ВАЖНО</w:t>
      </w:r>
      <w:r>
        <w:rPr>
          <w:b w:val="1"/>
          <w:bCs w:val="1"/>
          <w:u w:val="single"/>
          <w:rtl w:val="0"/>
          <w:lang w:val="ru-RU"/>
        </w:rPr>
        <w:t>!</w:t>
      </w:r>
      <w:r>
        <w:rPr>
          <w:rtl w:val="0"/>
          <w:lang w:val="ru-RU"/>
        </w:rPr>
        <w:t xml:space="preserve"> При наличии задолженности по текущим модулям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Модуль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– тест Пропедевтика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Модуль </w:t>
      </w:r>
      <w:r>
        <w:rPr>
          <w:rtl w:val="0"/>
          <w:lang w:val="ru-RU"/>
        </w:rPr>
        <w:t xml:space="preserve">2 </w:t>
      </w:r>
      <w:r>
        <w:rPr>
          <w:rtl w:val="0"/>
          <w:lang w:val="ru-RU"/>
        </w:rPr>
        <w:t>– Практические навыки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Модуль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– клиническая задача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Модуль </w:t>
      </w:r>
      <w:r>
        <w:rPr>
          <w:rtl w:val="0"/>
          <w:lang w:val="ru-RU"/>
        </w:rPr>
        <w:t xml:space="preserve">4 </w:t>
      </w:r>
      <w:r>
        <w:rPr>
          <w:rtl w:val="0"/>
          <w:lang w:val="ru-RU"/>
        </w:rPr>
        <w:t xml:space="preserve">тест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Частная неврология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Модуль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– История болезни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которые своевременно не сданы студентом до начала сессии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экзамене применяется </w:t>
      </w:r>
      <w:r>
        <w:rPr>
          <w:b w:val="1"/>
          <w:bCs w:val="1"/>
          <w:rtl w:val="0"/>
          <w:lang w:val="ru-RU"/>
        </w:rPr>
        <w:t>ПОНИЖАЮЩИЙ КОЭФФИЦИЕНТ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каждый несданный модуль понижает итоговую оценку за дисциплину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среднегодовая</w:t>
      </w:r>
      <w:r>
        <w:rPr>
          <w:rtl w:val="0"/>
          <w:lang w:val="ru-RU"/>
        </w:rPr>
        <w:t>+</w:t>
      </w:r>
      <w:r>
        <w:rPr>
          <w:rtl w:val="0"/>
          <w:lang w:val="ru-RU"/>
        </w:rPr>
        <w:t>модули</w:t>
      </w:r>
      <w:r>
        <w:rPr>
          <w:rtl w:val="0"/>
          <w:lang w:val="ru-RU"/>
        </w:rPr>
        <w:t>+</w:t>
      </w:r>
      <w:r>
        <w:rPr>
          <w:rtl w:val="0"/>
          <w:lang w:val="ru-RU"/>
        </w:rPr>
        <w:t>экзаменационная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>В последний день цикла студентам рекомендуется узнать у своего преподавателя наличие задолженностей по модулям</w:t>
      </w:r>
      <w:r>
        <w:rPr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 xml:space="preserve">При получении по модулю положительной оценки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выше </w:t>
      </w:r>
      <w:r>
        <w:rPr>
          <w:rtl w:val="0"/>
          <w:lang w:val="ru-RU"/>
        </w:rPr>
        <w:t xml:space="preserve">69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пересдача модуля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целью получения более высокого балла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предусматривается</w:t>
      </w:r>
      <w:r>
        <w:rPr>
          <w:rtl w:val="0"/>
          <w:lang w:val="ru-RU"/>
        </w:rPr>
        <w:t>.</w:t>
      </w:r>
    </w:p>
    <w:p>
      <w:pPr>
        <w:pStyle w:val="Normal.0"/>
        <w:jc w:val="both"/>
        <w:rPr>
          <w:lang w:val="ru-RU"/>
        </w:rPr>
      </w:pP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>В случае пропуска занятий в отсутствие уважительной причины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выставляется </w:t>
      </w:r>
      <w:r>
        <w:rPr>
          <w:rtl w:val="0"/>
          <w:lang w:val="ru-RU"/>
        </w:rPr>
        <w:t xml:space="preserve">0 </w:t>
      </w:r>
      <w:r>
        <w:rPr>
          <w:rtl w:val="0"/>
          <w:lang w:val="ru-RU"/>
        </w:rPr>
        <w:t>баллов в журнале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будет учитываться при расчете средней годовой оценки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случае наличия уважительной причины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предоставление документа или справки</w:t>
      </w:r>
      <w:r>
        <w:rPr>
          <w:rtl w:val="0"/>
          <w:lang w:val="ru-RU"/>
        </w:rPr>
        <w:t xml:space="preserve">), 0 </w:t>
      </w:r>
      <w:r>
        <w:rPr>
          <w:rtl w:val="0"/>
          <w:lang w:val="ru-RU"/>
        </w:rPr>
        <w:t>баллов выставляться не будет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случае пропуска более </w:t>
      </w:r>
      <w:r>
        <w:rPr>
          <w:rtl w:val="0"/>
          <w:lang w:val="ru-RU"/>
        </w:rPr>
        <w:t xml:space="preserve">50% </w:t>
      </w:r>
      <w:r>
        <w:rPr>
          <w:rtl w:val="0"/>
          <w:lang w:val="ru-RU"/>
        </w:rPr>
        <w:t>занятий по уважительной причине необходимо пройти цикл по нервным болезням полностью с другой группой</w:t>
      </w:r>
      <w:r>
        <w:rPr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lang w:val="ru-RU"/>
        </w:rPr>
      </w:pPr>
    </w:p>
    <w:p>
      <w:pPr>
        <w:pStyle w:val="Normal.0"/>
        <w:ind w:firstLine="708"/>
        <w:jc w:val="both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>ПРОПУЩЕННЫЕ ЗАНЯТИЯ ОТРАБАТЫВАТЬ НЕ НУЖНО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lang w:val="ru-RU"/>
        </w:rPr>
      </w:pP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>Обучающийся получает информацию о своей оценке непосредственно на экзамене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завершения своего ответа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в день сдачи экзамена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подведения итогов пройденного этапа экзамена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Информация будет разослана старостам потока</w:t>
      </w:r>
      <w:r>
        <w:rPr>
          <w:rtl w:val="0"/>
          <w:lang w:val="ru-RU"/>
        </w:rPr>
        <w:t xml:space="preserve">. </w:t>
      </w:r>
    </w:p>
    <w:p>
      <w:pPr>
        <w:pStyle w:val="Normal.0"/>
        <w:ind w:firstLine="708"/>
        <w:jc w:val="both"/>
        <w:rPr>
          <w:b w:val="1"/>
          <w:bCs w:val="1"/>
          <w:lang w:val="ru-RU"/>
        </w:rPr>
      </w:pPr>
    </w:p>
    <w:p>
      <w:pPr>
        <w:pStyle w:val="Normal.0"/>
        <w:ind w:firstLine="708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ПРИМЕЧАНИЕ</w:t>
      </w:r>
      <w:r>
        <w:rPr>
          <w:b w:val="1"/>
          <w:bCs w:val="1"/>
          <w:rtl w:val="0"/>
          <w:lang w:val="ru-RU"/>
        </w:rPr>
        <w:t>:</w:t>
      </w:r>
      <w:r>
        <w:rPr>
          <w:rtl w:val="0"/>
          <w:lang w:val="ru-RU"/>
        </w:rPr>
        <w:t xml:space="preserve"> если во время экзамена будет выявлен факт использования экзаменуемым технических средств 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моб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телефон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микрогарнитура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наушники 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.); </w:t>
      </w:r>
      <w:r>
        <w:rPr>
          <w:rtl w:val="0"/>
          <w:lang w:val="ru-RU"/>
        </w:rPr>
        <w:t>шпарагалок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подсказок от других студентов  этот экзаменуемый лишается права сдачи экзамена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ему выставляются по всем этапам экзамена </w:t>
      </w:r>
      <w:r>
        <w:rPr>
          <w:rtl w:val="0"/>
          <w:lang w:val="ru-RU"/>
        </w:rPr>
        <w:t xml:space="preserve">0 </w:t>
      </w:r>
      <w:r>
        <w:rPr>
          <w:rtl w:val="0"/>
          <w:lang w:val="ru-RU"/>
        </w:rPr>
        <w:t>баллов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устанавливается оценка «неудовлетворительно» и оформляется соответствующий акт с  его последующей передачей в деканат</w:t>
      </w:r>
      <w:r>
        <w:rPr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lang w:val="ru-RU"/>
        </w:rPr>
      </w:pP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>По завершении экзамена сотрудники кафедры проводят дешифрование экзаменуемых с определением итоговых оценок с учетом рейтинговых показателей</w:t>
      </w:r>
      <w:r>
        <w:rPr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>В период сессии студент имеет право на одну сдачу экзамена в соответствии с расписанием экзаменов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допускается прием задолженностей во время сессии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допускается прием экзамена по завершении сессии</w:t>
      </w:r>
      <w:r>
        <w:rPr>
          <w:rtl w:val="0"/>
          <w:lang w:val="ru-RU"/>
        </w:rPr>
        <w:t>.</w:t>
      </w:r>
    </w:p>
    <w:p>
      <w:pPr>
        <w:pStyle w:val="Normal.0"/>
        <w:ind w:firstLine="708"/>
        <w:jc w:val="both"/>
        <w:rPr>
          <w:lang w:val="ru-RU"/>
        </w:rPr>
      </w:pPr>
      <w:r>
        <w:rPr>
          <w:rtl w:val="0"/>
          <w:lang w:val="ru-RU"/>
        </w:rPr>
        <w:t>В последующем студент сдает экзамен в период повторной промежуточной аттестации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определяемый приказом ректора</w:t>
      </w:r>
      <w:r>
        <w:rPr>
          <w:rtl w:val="0"/>
          <w:lang w:val="ru-RU"/>
        </w:rPr>
        <w:t>.</w:t>
      </w:r>
    </w:p>
    <w:p>
      <w:pPr>
        <w:pStyle w:val="Normal.0"/>
        <w:jc w:val="both"/>
        <w:rPr>
          <w:lang w:val="ru-RU"/>
        </w:rPr>
      </w:pPr>
      <w:r>
        <w:rPr>
          <w:rtl w:val="0"/>
          <w:lang w:val="ru-RU"/>
        </w:rPr>
        <w:t xml:space="preserve"> </w:t>
      </w:r>
    </w:p>
    <w:p>
      <w:pPr>
        <w:pStyle w:val="Normal.0"/>
        <w:jc w:val="both"/>
        <w:rPr>
          <w:lang w:val="ru-RU"/>
        </w:rPr>
      </w:pPr>
      <w:r>
        <w:rPr>
          <w:rtl w:val="0"/>
          <w:lang w:val="ru-RU"/>
        </w:rPr>
        <w:t>Регламент обсужден и утвержден на заседании кафедры неврологии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нейрохирургии и мед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генетики  протокол заседания от 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 xml:space="preserve">марта </w:t>
      </w:r>
      <w:r>
        <w:rPr>
          <w:rtl w:val="0"/>
          <w:lang w:val="ru-RU"/>
        </w:rPr>
        <w:t xml:space="preserve">2022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Normal.0"/>
        <w:jc w:val="both"/>
        <w:rPr>
          <w:lang w:val="ru-RU"/>
        </w:rPr>
      </w:pPr>
      <w:r>
        <w:rPr>
          <w:rtl w:val="0"/>
          <w:lang w:val="ru-RU"/>
        </w:rPr>
        <w:t xml:space="preserve"> </w:t>
      </w:r>
    </w:p>
    <w:p>
      <w:pPr>
        <w:pStyle w:val="Normal.0"/>
        <w:jc w:val="both"/>
        <w:rPr>
          <w:lang w:val="ru-RU"/>
        </w:rPr>
      </w:pPr>
    </w:p>
    <w:p>
      <w:pPr>
        <w:pStyle w:val="Normal.0"/>
        <w:jc w:val="both"/>
        <w:rPr>
          <w:lang w:val="ru-RU"/>
        </w:rPr>
      </w:pPr>
      <w:r>
        <w:rPr>
          <w:rtl w:val="0"/>
          <w:lang w:val="ru-RU"/>
        </w:rPr>
        <w:t>Зав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кафедрой</w:t>
      </w:r>
      <w:r>
        <w:rPr>
          <w:rtl w:val="0"/>
          <w:lang w:val="ru-RU"/>
        </w:rPr>
        <w:t>,</w:t>
        <w:tab/>
        <w:tab/>
        <w:tab/>
        <w:tab/>
        <w:tab/>
        <w:tab/>
        <w:tab/>
        <w:tab/>
        <w:tab/>
        <w:tab/>
      </w:r>
      <w:r>
        <w:rPr>
          <w:rtl w:val="0"/>
          <w:lang w:val="ru-RU"/>
        </w:rPr>
        <w:t>Э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З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Якупов</w:t>
      </w:r>
    </w:p>
    <w:p>
      <w:pPr>
        <w:pStyle w:val="Normal.0"/>
        <w:jc w:val="both"/>
        <w:rPr>
          <w:lang w:val="ru-RU"/>
        </w:rPr>
      </w:pPr>
      <w:r>
        <w:rPr>
          <w:rtl w:val="0"/>
          <w:lang w:val="ru-RU"/>
        </w:rPr>
        <w:t>проф</w:t>
      </w:r>
      <w:r>
        <w:rPr>
          <w:rtl w:val="0"/>
          <w:lang w:val="ru-RU"/>
        </w:rPr>
        <w:t>.</w:t>
      </w:r>
    </w:p>
    <w:p>
      <w:pPr>
        <w:pStyle w:val="Normal.0"/>
        <w:jc w:val="both"/>
        <w:rPr>
          <w:lang w:val="ru-RU"/>
        </w:rPr>
      </w:pPr>
    </w:p>
    <w:p>
      <w:pPr>
        <w:pStyle w:val="Normal.0"/>
        <w:jc w:val="both"/>
      </w:pPr>
      <w:r>
        <w:rPr>
          <w:lang w:val="ru-RU"/>
        </w:rPr>
      </w:r>
    </w:p>
    <w:sectPr>
      <w:headerReference w:type="default" r:id="rId7"/>
      <w:footerReference w:type="default" r:id="rId8"/>
      <w:pgSz w:w="11900" w:h="16840" w:orient="portrait"/>
      <w:pgMar w:top="1134" w:right="850" w:bottom="1134" w:left="1701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3"/>
  </w:abstractNum>
  <w:abstractNum w:abstractNumId="3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4"/>
  </w:abstractNum>
  <w:abstractNum w:abstractNumId="5">
    <w:multiLevelType w:val="hybridMultilevel"/>
    <w:styleLink w:val="Импортированный стиль 4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3">
    <w:name w:val="Импортированный стиль 3"/>
    <w:pPr>
      <w:numPr>
        <w:numId w:val="3"/>
      </w:numPr>
    </w:pPr>
  </w:style>
  <w:style w:type="numbering" w:styleId="Импортированный стиль 4">
    <w:name w:val="Импортированный стиль 4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